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51db3bfd26b2cdfac1c357507ef23cb8ceaec"/>
    <w:p>
      <w:pPr>
        <w:pStyle w:val="Heading3"/>
      </w:pPr>
      <w:r>
        <w:t xml:space="preserve">31 декабря заканчивается переходный период, связанный с введением единого налогового счета</w:t>
      </w:r>
    </w:p>
    <w:p>
      <w:pPr>
        <w:pStyle w:val="FirstParagraph"/>
      </w:pPr>
      <w:r>
        <w:t xml:space="preserve">21.11.2023</w:t>
      </w:r>
    </w:p>
    <w:p>
      <w:pPr>
        <w:pStyle w:val="BodyText"/>
      </w:pPr>
      <w:r>
        <w:drawing>
          <wp:inline>
            <wp:extent cx="5334000" cy="77058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фн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58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http://birulevo-zapadnoe.mos.ru/information-tape/detail/11992582.html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1992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1992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2025-05-30T09:14:47Z</dcterms:created>
  <dcterms:modified xsi:type="dcterms:W3CDTF">2025-05-30T09:14:47Z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