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d5d1063ab141e43bdaee4ee11ac09e07135b2"/>
    <w:p>
      <w:pPr>
        <w:pStyle w:val="Heading3"/>
      </w:pPr>
      <w:r>
        <w:t xml:space="preserve">30 октября истекает срок уплаты авансовых платежей по налогам на имущество организаций за третий квартал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2310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http://birulevo-zapadnoe.mos.ru/information-tape/detail/11927004.html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927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1927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2023-10-23T13:08:17Z</dcterms:created>
  <dcterms:modified xsi:type="dcterms:W3CDTF">2023-10-23T13:08:17Z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