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cd9cf8045e9dc01ec8ffa8c3f3985adbd36722"/>
    <w:p>
      <w:pPr>
        <w:pStyle w:val="Heading3"/>
      </w:pPr>
      <w:r>
        <w:t xml:space="preserve">Требуется ли представлять Уведомление об исчисленных суммах налогов на имущество за налоговый период 2022 года, уплаченных в 2023 году, если организация уже представила налоговую декларацию по налогу на имущество организаций за налоговый период 2022 года?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f5e13b21aabb3e5540684dc97a3f3348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f5e13b21aabb3e5540684dc97a3f3348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http://birulevo-zapadnoe.mos.ru/information-tape/detail/11872399.html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1872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1872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2025-06-16T03:13:50Z</dcterms:created>
  <dcterms:modified xsi:type="dcterms:W3CDTF">2025-06-16T03:13:50Z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