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e5b8e4dea592e288f8bdc904ba0fded32fa80"/>
    <w:p>
      <w:pPr>
        <w:pStyle w:val="Heading3"/>
      </w:pPr>
      <w:r>
        <w:t xml:space="preserve">Как в Уведомлении заполняется поле «КПП указанный в соответствующей налоговой декларации (расчете)»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Как в Уведомлении заполняется поле «КПП, указанный в соответствующей налоговой декларации (расчете)» при условии отсутствия с налоговых периодов 2020 года по транспортному и земельному налогам и с 2023 года по налогу на имущество организаций порядков заполнения налоговых деклараций по данным налогам?</w:t>
      </w:r>
    </w:p>
    <w:p>
      <w:pPr>
        <w:pStyle w:val="BodyText"/>
      </w:pPr>
      <w:r>
        <w:t xml:space="preserve">По транспортному и земельному налогам (за налоговый период 2020 года и последующие периоды) и по налогу на имущество организаций (за налоговый период 2022 года и последующие периоды в части принадлежащих налогоплательщикам - российским организациям объектов налогообложения, налоговая база по которым определяется как их кадастровая стоимость) порядок заполнения налоговой декларации (расчета) законодательством о налогах и сборах не установлен.</w:t>
      </w:r>
    </w:p>
    <w:p>
      <w:pPr>
        <w:pStyle w:val="BodyText"/>
      </w:pPr>
      <w:r>
        <w:t xml:space="preserve">В данном случае рекомендуется указывать КПП:</w:t>
      </w:r>
    </w:p>
    <w:p>
      <w:pPr>
        <w:pStyle w:val="BodyText"/>
      </w:pPr>
      <w:r>
        <w:t xml:space="preserve">•для российских организаций – в соответствии со свидетельством о постановке на учет российской организации в налоговом органе по месту её нахождения;</w:t>
      </w:r>
    </w:p>
    <w:p>
      <w:pPr>
        <w:pStyle w:val="BodyText"/>
      </w:pPr>
      <w:r>
        <w:t xml:space="preserve">•для иностранной организации, осуществляющей деятельность на территории Российской Федерации через постоянное представительство в соответствии со свидетельством о постановке на учет иностранной организации в налоговом органе;</w:t>
      </w:r>
    </w:p>
    <w:p>
      <w:pPr>
        <w:pStyle w:val="BodyText"/>
      </w:pPr>
      <w:r>
        <w:t xml:space="preserve">•для иностранной организации, не осуществляющей деятельность на территории Российской Федерации через постоянное представительство в соответствии с уведомлением о постановке на учет иностранной организации в налоговом органе.</w:t>
      </w:r>
    </w:p>
    <w:p>
      <w:pPr>
        <w:pStyle w:val="BodyText"/>
      </w:pPr>
      <w:r>
        <w:t xml:space="preserve">При этом реквизит «КПП, указанный в соответствующей налоговой декларации (расчете)» Уведомления не используется при проведении в автоматизированной информационной системе налоговых органов квитирования с начислениями указанных налогов, содержащихся в сообщениях об исчисленных налоговым органом суммах транспортного налога, налога на имущество организаций, земельного налога, в связи с наличием иных идентификаторов, таких как ИНН, КБК, ОКТМО, налоговый (отчетный)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http://birulevo-zapadnoe.mos.ru/information-tape/detail/11836890.html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1836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1836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2024-04-30T05:32:23Z</dcterms:created>
  <dcterms:modified xsi:type="dcterms:W3CDTF">2024-04-30T05:32:23Z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