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0a3c499a35e951e758e9cd53e6e3481897c09"/>
    <w:p>
      <w:pPr>
        <w:pStyle w:val="Heading3"/>
      </w:pPr>
      <w:r>
        <w:t xml:space="preserve">Каковы правовые последствия уплаты организацией в течение 2023 года авансовых платежей по налогам на имущество без представления Уведомлений?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drawing>
          <wp:inline>
            <wp:extent cx="5334000" cy="77058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1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5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http://birulevo-zapadnoe.mos.ru/information-tape/detail/11783792.html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8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8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2024-04-12T04:22:27Z</dcterms:created>
  <dcterms:modified xsi:type="dcterms:W3CDTF">2024-04-12T04:22:27Z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