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7fe70e7119ed06a7163b082e76ed50754b09"/>
    <w:p>
      <w:pPr>
        <w:pStyle w:val="Heading3"/>
      </w:pPr>
      <w:r>
        <w:t xml:space="preserve">25 апреля 2025 года в управе района состоялось заседание постоянно действующей рабочей группы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25 апреля 2025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дополнительных мерах по обеспечению безопасности граждан и антитеррористической защищенности объектов района Бирюлево Западное в период подготовки и проведения праздничных мероприятий, посвященных Дню Весны и Труда, Дню Победы, в том числе 3, 7 и 9 мая 2025 года с учетом результатов анализа угроз террористического характера в условиях проведения специальной военной операции.</w:t>
      </w:r>
    </w:p>
    <w:p>
      <w:pPr>
        <w:pStyle w:val="BodyText"/>
      </w:pPr>
      <w:r>
        <w:t xml:space="preserve">В заседании приняли участие должностные лица управы района,</w:t>
      </w:r>
      <w:r>
        <w:br/>
      </w:r>
      <w:r>
        <w:t xml:space="preserve">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http://birulevo-zapadnoe.mos.ru/counter-terrorism/anti-terrorist-activities-of-the-western-biryulyovo-district-of-southern-administrative-district-of-/meeting-of-the-permanent-working-group-of-the-district-council-of-biryulyovo-zapadnoye-on-the-preven/detail/13084074.html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3084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3084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2025-07-06T02:05:26Z</dcterms:created>
  <dcterms:modified xsi:type="dcterms:W3CDTF">2025-07-06T02:05:26Z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