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9d3278ac8c4af010642fd56d35f2cb993f6b12"/>
    <w:p>
      <w:pPr>
        <w:pStyle w:val="Heading3"/>
      </w:pPr>
      <w:r>
        <w:t xml:space="preserve">В районной школе № 667 учебный день традиционно начался с «Разговоров о важном»</w:t>
      </w:r>
    </w:p>
    <w:p>
      <w:pPr>
        <w:pStyle w:val="FirstParagraph"/>
      </w:pPr>
      <w:r>
        <w:t xml:space="preserve">07.05.2024</w:t>
      </w:r>
    </w:p>
    <w:p>
      <w:pPr>
        <w:pStyle w:val="BodyText"/>
      </w:pPr>
      <w:r>
        <w:t xml:space="preserve">06 мая в районной школе № 667 учебный день традиционно начался с «Разговоров о важном». Тема: "День Победы. 80 лет со дня освобождения Севастополя и Крыма от немецко-фашистских захватчиков".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члены районного Совета ветеранов.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051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a-public-hearing-public-comment/Разговоры%20о%20важно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05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a-public-hearing-public-comment/Разговоры%20о%20важном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http://birulevo-zapadnoe.mos.ru/counter-terrorism/anti-terrorist-activities-of-the-western-biryulyovo-district-of-southern-administrative-district-of-/measures-to-combat-extremism-and-terrorism/detail/12359929.html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359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359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2025-04-10T03:15:28Z</dcterms:created>
  <dcterms:modified xsi:type="dcterms:W3CDTF">2025-04-10T03:15:28Z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