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74b55b12fe69d8c723a167f37a5bf08660262c"/>
    <w:p>
      <w:pPr>
        <w:pStyle w:val="Heading3"/>
      </w:pPr>
      <w:r>
        <w:t xml:space="preserve">Церемония поднятия Государственного флага Российской Федерации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t xml:space="preserve">В корпусах районной школы № 2001 прошли еженедельные торжественные церемонии водружения Государственного флага Российской Федерации.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№2001".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45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Торжественные%20церемонии%20водружения%20Государственного%20флага%20Российской%20Федерации%20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5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45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Торжественные%20церемонии%20водружения%20Государственного%20флага%20Российской%20Федерации%20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5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irulevo-zapadnoe.mos.ru/www/Торжественные%20церемонии%20водружения%20Государственного%20флага%20Российской%20Федерации%203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http://birulevo-zapadnoe.mos.ru/counter-terrorism/anti-terrorist-activities-of-the-western-biryulyovo-district-of-southern-administrative-district-of-/measures-to-combat-extremism-and-terrorism/detail/12277449.html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counter-terrorism/anti-terrorist-activities-of-the-western-biryulyovo-district-of-southern-administrative-district-of-/measures-to-combat-extremism-and-terrorism/detail/12277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counter-terrorism/anti-terrorist-activities-of-the-western-biryulyovo-district-of-southern-administrative-district-of-/measures-to-combat-extremism-and-terrorism/detail/12277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2025-04-10T03:14:46Z</dcterms:created>
  <dcterms:modified xsi:type="dcterms:W3CDTF">2025-04-10T03:14:46Z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