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74b55b12fe69d8c723a167f37a5bf08660262c"/>
    <w:p>
      <w:pPr>
        <w:pStyle w:val="Heading3"/>
      </w:pPr>
      <w:r>
        <w:t xml:space="preserve">Церемония поднятия Государственного флага Российской Федерации</w:t>
      </w:r>
    </w:p>
    <w:p>
      <w:pPr>
        <w:pStyle w:val="FirstParagraph"/>
      </w:pPr>
      <w:r>
        <w:t xml:space="preserve">04.05.2023</w:t>
      </w:r>
    </w:p>
    <w:p>
      <w:pPr>
        <w:pStyle w:val="BodyText"/>
      </w:pPr>
      <w:r>
        <w:t xml:space="preserve">4 мая 2023 года в районной школе № 667 прошла торжественная церемония поднятия Государственного флага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 Фото: социальная сеть в ВК ГБОУ "Школа № 667".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Церемноия%20поднятия%20флага%20РФ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Церемноия%20поднятия%20флага%20РФ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http://birulevo-zapadnoe.mos.ru/counter-terrorism/anti-terrorist-activities-of-the-western-biryulyovo-district-of-southern-administrative-district-of-/measures-to-combat-extremism-and-terrorism/detail/11570887.html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15708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15708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2024-01-16T00:29:27Z</dcterms:created>
  <dcterms:modified xsi:type="dcterms:W3CDTF">2024-01-16T00:29:27Z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