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8d9a2835777b0a8ddb27831fa727f5c7dcbd8"/>
    <w:p>
      <w:pPr>
        <w:pStyle w:val="Heading3"/>
      </w:pPr>
      <w:r>
        <w:t xml:space="preserve">Чертановская межрайонная прокуратура информирует "Какая ответственность предусмотрена за экстремизм"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t xml:space="preserve">Согласно наиболее общим представлениям экстремизм - это форма выражения ненависти и вражды, направленная в адрес определенного лица или группы лиц.</w:t>
      </w:r>
    </w:p>
    <w:p>
      <w:pPr>
        <w:pStyle w:val="BodyText"/>
      </w:pPr>
      <w:r>
        <w:t xml:space="preserve">Нормативное определение экстремизма закреплено в ст.1 Федерального закона от 25.07.2002 № 114-ФЗ (ред. от 01.07.2021) «О противодействии экстремисткой деятельности».</w:t>
      </w:r>
    </w:p>
    <w:p>
      <w:pPr>
        <w:pStyle w:val="BodyText"/>
      </w:pPr>
      <w:r>
        <w:t xml:space="preserve">В соответствии со ст. 15 Федерального закона «О противодействии экстремисткой деятельности» за осуществление экстремистской деятельности граждане Российской Федерации, иностранные граждане и лица без гражданства несут уголовную, административную и гражданско-правовую ответственность в установленном законодательством РФ порядке.</w:t>
      </w:r>
    </w:p>
    <w:p>
      <w:pPr>
        <w:pStyle w:val="BodyText"/>
      </w:pPr>
      <w:r>
        <w:t xml:space="preserve">К примеру, ст. 20.29 КодП РФ предусмотрена административная ответственность за массовое распространение экстремистских материалов, включенных в опубликованный федеральный список экстремистских материалов, а равно их производство либо хранение в целях массового распространения, за исключением случаев, предусмотренных статьей 20.3.2 настоящего Кодекса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оборудования, использованного для их производства; на должностных лиц - от двух тысяч до пяти тысяч рублей с конфискацией указанных материалов и оборудования, использованного для их производства; на юридических лиц -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оборудования, использованного для их производства.</w:t>
      </w:r>
    </w:p>
    <w:p>
      <w:pPr>
        <w:pStyle w:val="BodyText"/>
      </w:pPr>
      <w:r>
        <w:t xml:space="preserve">В Уголовном кодексе РФ указаны следующие составы преступлений экстремистской направленности:</w:t>
      </w:r>
    </w:p>
    <w:p>
      <w:pPr>
        <w:pStyle w:val="BodyText"/>
      </w:pPr>
      <w:r>
        <w:t xml:space="preserve">Ст. 280 УК РФ - публичные призывы к осуществлению экстремистской</w:t>
      </w:r>
    </w:p>
    <w:p>
      <w:pPr>
        <w:pStyle w:val="BodyText"/>
      </w:pPr>
      <w:r>
        <w:t xml:space="preserve">деятельности;</w:t>
      </w:r>
    </w:p>
    <w:p>
      <w:pPr>
        <w:pStyle w:val="BodyText"/>
      </w:pPr>
      <w:r>
        <w:t xml:space="preserve">Ст. 282 УК - возбуждение ненависти либо вражды, а равно унижение человеческого достоинства;</w:t>
      </w:r>
    </w:p>
    <w:p>
      <w:pPr>
        <w:pStyle w:val="BodyText"/>
      </w:pPr>
      <w:r>
        <w:t xml:space="preserve">Ст. 282.1 УК РФ - организация экстремистского сообщества;</w:t>
      </w:r>
    </w:p>
    <w:p>
      <w:pPr>
        <w:pStyle w:val="BodyText"/>
      </w:pPr>
      <w:r>
        <w:t xml:space="preserve">Ст. 282.2 УК РФ - организация деятельности экстремистской организации;</w:t>
      </w:r>
    </w:p>
    <w:p>
      <w:pPr>
        <w:pStyle w:val="BodyText"/>
      </w:pPr>
      <w:r>
        <w:t xml:space="preserve">Ст. 282.3 УК РФ - финансирование экстремистской деятельности;</w:t>
      </w:r>
    </w:p>
    <w:p>
      <w:pPr>
        <w:pStyle w:val="BodyText"/>
      </w:pPr>
      <w:r>
        <w:t xml:space="preserve">За совершение указанных преступлений предусмотрено наказание вплоть до лишения свободы».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http://birulevo-zapadnoe.mos.ru/counter-terrorism/anti-terrorist-activities-of-the-western-biryulyovo-district-of-southern-administrative-district-of-/measures-to-combat-extremism-and-terrorism/detail/11476375.html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1476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1476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2024-12-03T13:55:02Z</dcterms:created>
  <dcterms:modified xsi:type="dcterms:W3CDTF">2024-12-03T13:55:02Z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