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78defa4afdfa70b06b1f86616840a3a563247"/>
    <w:p>
      <w:pPr>
        <w:pStyle w:val="Heading3"/>
      </w:pPr>
      <w:r>
        <w:t xml:space="preserve">В районной школе N 2001 прошел интерактивный урок в рамках Всероссийской просветительской акции «Ученые — в школы»</w:t>
      </w:r>
    </w:p>
    <w:p>
      <w:pPr>
        <w:pStyle w:val="FirstParagraph"/>
      </w:pPr>
      <w:r>
        <w:t xml:space="preserve">20.03.2023</w:t>
      </w:r>
    </w:p>
    <w:p>
      <w:pPr>
        <w:pStyle w:val="BodyText"/>
      </w:pPr>
      <w:r>
        <w:t xml:space="preserve">17 марта 2023 года для учащихся школы № 2001 прошел интерактивный урок в рамках Всероссийской просветительской акции «Ученые — в школы» с участием представителя Российской таможенной академии.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Всероссийская%20просветительская%20акция%20«Ученые%20—%20в%20школы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http://birulevo-zapadnoe.mos.ru/counter-terrorism/anti-terrorist-activities-of-the-western-biryulyovo-district-of-southern-administrative-district-of-/measures-to-combat-extremism-and-terrorism/detail/11476364.html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76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76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2023-10-11T13:49:53Z</dcterms:created>
  <dcterms:modified xsi:type="dcterms:W3CDTF">2023-10-11T13:49:53Z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