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eda23d41d8583b50e6912ea264f6b62ce2f3e"/>
    <w:p>
      <w:pPr>
        <w:pStyle w:val="Heading3"/>
      </w:pPr>
      <w:r>
        <w:t xml:space="preserve">Члены Молодежной палаты района провели историко-патриотический квиз «Россия без границ»</w:t>
      </w:r>
    </w:p>
    <w:p>
      <w:pPr>
        <w:pStyle w:val="FirstParagraph"/>
      </w:pPr>
      <w:r>
        <w:t xml:space="preserve">16.03.2023</w:t>
      </w:r>
    </w:p>
    <w:p>
      <w:pPr>
        <w:pStyle w:val="BodyText"/>
      </w:pPr>
      <w:r>
        <w:t xml:space="preserve">27 февраля 2023 года члены Молодежной палаты района провели историко-патриотический квиз «Россия без границ».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прошло в районной школе № 667 имени героя Советского Союза К.Я. Самсонова.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мероприятия, с небольшим отрывом выиграла команда «Молодежь».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Молодежное Бирюлево Западное.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Историко-патриотический%20квиз%20«Россия%20без%20границ»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http://birulevo-zapadnoe.mos.ru/counter-terrorism/anti-terrorist-activities-of-the-western-biryulyovo-district-of-southern-administrative-district-of-/measures-to-combat-extremism-and-terrorism/detail/11470330.html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70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70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2023-10-11T13:49:57Z</dcterms:created>
  <dcterms:modified xsi:type="dcterms:W3CDTF">2023-10-11T13:49:57Z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