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735af3ca4cad44e846c858be7d733995ef342"/>
    <w:p>
      <w:pPr>
        <w:pStyle w:val="Heading3"/>
      </w:pPr>
      <w:r>
        <w:t xml:space="preserve">Методические рекомендации по порядку проведения служебных проверок в управе района Бирюлёво Западное города Москвы</w:t>
      </w:r>
    </w:p>
    <w:p>
      <w:pPr>
        <w:pStyle w:val="FirstParagraph"/>
      </w:pPr>
      <w:r>
        <w:t xml:space="preserve">17.07.2014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http://birulevo-zapadnoe.mos.ru/anti-corruption/methodical-materials/detail/1129415.html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anti-corruption/methodical-materials/detail/11294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anti-corruption/methodical-materials/detail/11294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2025-04-10T02:52:34Z</dcterms:created>
  <dcterms:modified xsi:type="dcterms:W3CDTF">2025-04-10T02:52:34Z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